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FA" w:rsidRPr="001E6233" w:rsidRDefault="00253CFA" w:rsidP="00E06BF4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  <w:highlight w:val="yellow"/>
          <w:u w:val="single"/>
          <w:lang w:eastAsia="cs-CZ"/>
        </w:rPr>
      </w:pPr>
      <w:r w:rsidRPr="001E6233">
        <w:rPr>
          <w:rFonts w:asciiTheme="minorHAnsi" w:eastAsia="Times New Roman" w:hAnsiTheme="minorHAnsi" w:cstheme="minorHAnsi"/>
          <w:b/>
          <w:bCs/>
          <w:sz w:val="36"/>
          <w:szCs w:val="36"/>
          <w:u w:val="single"/>
          <w:lang w:eastAsia="cs-CZ"/>
        </w:rPr>
        <w:t xml:space="preserve">Program </w:t>
      </w:r>
      <w:r w:rsidR="00835D31">
        <w:rPr>
          <w:rFonts w:asciiTheme="minorHAnsi" w:eastAsia="Times New Roman" w:hAnsiTheme="minorHAnsi" w:cstheme="minorHAnsi"/>
          <w:b/>
          <w:bCs/>
          <w:sz w:val="36"/>
          <w:szCs w:val="36"/>
          <w:u w:val="single"/>
          <w:lang w:eastAsia="cs-CZ"/>
        </w:rPr>
        <w:t>Prostředí pro život</w:t>
      </w:r>
      <w:r w:rsidRPr="001E6233">
        <w:rPr>
          <w:rFonts w:asciiTheme="minorHAnsi" w:eastAsia="Times New Roman" w:hAnsiTheme="minorHAnsi" w:cstheme="minorHAnsi"/>
          <w:b/>
          <w:bCs/>
          <w:sz w:val="36"/>
          <w:szCs w:val="36"/>
          <w:u w:val="single"/>
          <w:lang w:eastAsia="cs-CZ"/>
        </w:rPr>
        <w:t xml:space="preserve"> </w:t>
      </w:r>
      <w:r w:rsidR="00530490" w:rsidRPr="001E6233">
        <w:rPr>
          <w:rFonts w:asciiTheme="minorHAnsi" w:eastAsia="Times New Roman" w:hAnsiTheme="minorHAnsi" w:cstheme="minorHAnsi"/>
          <w:b/>
          <w:bCs/>
          <w:sz w:val="36"/>
          <w:szCs w:val="36"/>
          <w:u w:val="single"/>
          <w:lang w:eastAsia="cs-CZ"/>
        </w:rPr>
        <w:t xml:space="preserve">– </w:t>
      </w:r>
      <w:r w:rsidR="00912784" w:rsidRPr="001E6233">
        <w:rPr>
          <w:rFonts w:asciiTheme="minorHAnsi" w:eastAsia="Times New Roman" w:hAnsiTheme="minorHAnsi" w:cstheme="minorHAnsi"/>
          <w:b/>
          <w:bCs/>
          <w:sz w:val="36"/>
          <w:szCs w:val="36"/>
          <w:u w:val="single"/>
          <w:lang w:eastAsia="cs-CZ"/>
        </w:rPr>
        <w:t>první</w:t>
      </w:r>
      <w:r w:rsidR="00530490" w:rsidRPr="001E6233">
        <w:rPr>
          <w:rFonts w:asciiTheme="minorHAnsi" w:eastAsia="Times New Roman" w:hAnsiTheme="minorHAnsi" w:cstheme="minorHAnsi"/>
          <w:b/>
          <w:bCs/>
          <w:sz w:val="36"/>
          <w:szCs w:val="36"/>
          <w:u w:val="single"/>
          <w:lang w:eastAsia="cs-CZ"/>
        </w:rPr>
        <w:t xml:space="preserve"> veřejná soutěž </w:t>
      </w:r>
    </w:p>
    <w:p w:rsidR="00835D31" w:rsidRDefault="00835D31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hAnsiTheme="minorHAnsi" w:cstheme="minorHAnsi"/>
        </w:rPr>
      </w:pPr>
      <w:r w:rsidRPr="00835D31">
        <w:rPr>
          <w:rFonts w:asciiTheme="minorHAnsi" w:hAnsiTheme="minorHAnsi" w:cstheme="minorHAnsi"/>
        </w:rPr>
        <w:t xml:space="preserve">Program  je  zaměřen  na  podporu  projektů  aplikovaného  výzkumu,  experimentálního  vývoje  a  inovací,  jejichž  výsledky  mají  vysoký  potenciál  pro  uplatnění  v  řadě  oblastí  života  české společnosti.   Výstupy,   výsledky   a   dopady   z   podpořených   projektů   zejména   napomohou identifikaci  skutečných  rizik  pro  životní  prostředí  a  navržení  efektivních  opatření  pro  jejich prevenci či odstranění jejich následků a tím zkvalitnění života obyvatel ČR.  </w:t>
      </w:r>
    </w:p>
    <w:p w:rsidR="001E6233" w:rsidRPr="00181415" w:rsidRDefault="001E6233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8"/>
          <w:szCs w:val="24"/>
          <w:lang w:eastAsia="cs-CZ"/>
        </w:rPr>
      </w:pPr>
      <w:r w:rsidRPr="00181415">
        <w:rPr>
          <w:rFonts w:asciiTheme="minorHAnsi" w:eastAsia="Times New Roman" w:hAnsiTheme="minorHAnsi" w:cstheme="minorHAnsi"/>
          <w:b/>
          <w:bCs/>
          <w:sz w:val="28"/>
          <w:szCs w:val="24"/>
          <w:lang w:eastAsia="cs-CZ"/>
        </w:rPr>
        <w:t>Podprogramy</w:t>
      </w:r>
    </w:p>
    <w:p w:rsidR="001E6233" w:rsidRPr="005214DF" w:rsidRDefault="001E6233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4"/>
          <w:lang w:eastAsia="cs-CZ"/>
        </w:rPr>
      </w:pPr>
      <w:r w:rsidRPr="005214DF">
        <w:rPr>
          <w:rFonts w:asciiTheme="minorHAnsi" w:eastAsia="Times New Roman" w:hAnsiTheme="minorHAnsi" w:cstheme="minorHAnsi"/>
          <w:b/>
          <w:i/>
          <w:sz w:val="28"/>
          <w:szCs w:val="24"/>
          <w:lang w:eastAsia="cs-CZ"/>
        </w:rPr>
        <w:t>Podprogram 1 „</w:t>
      </w:r>
      <w:r w:rsidR="00835D31" w:rsidRPr="005214DF">
        <w:rPr>
          <w:rFonts w:asciiTheme="minorHAnsi" w:eastAsia="Times New Roman" w:hAnsiTheme="minorHAnsi" w:cstheme="minorHAnsi"/>
          <w:b/>
          <w:i/>
          <w:sz w:val="28"/>
          <w:szCs w:val="24"/>
          <w:lang w:eastAsia="cs-CZ"/>
        </w:rPr>
        <w:t>Operativní výzkum ve veřejném zájmu</w:t>
      </w:r>
      <w:r w:rsidRPr="005214DF">
        <w:rPr>
          <w:rFonts w:asciiTheme="minorHAnsi" w:eastAsia="Times New Roman" w:hAnsiTheme="minorHAnsi" w:cstheme="minorHAnsi"/>
          <w:b/>
          <w:i/>
          <w:sz w:val="28"/>
          <w:szCs w:val="24"/>
          <w:lang w:eastAsia="cs-CZ"/>
        </w:rPr>
        <w:t xml:space="preserve">“ 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outlineLvl w:val="3"/>
      </w:pPr>
      <w:r>
        <w:t xml:space="preserve">V  rámci  podprogramu  1  -  Operativní  výzkum  ve  veřejném  zájmu  budou  podpořeny  takové návrhy projektů, které splňují dílčí cíle a zaměření tohoto podprogramu: 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outlineLvl w:val="3"/>
      </w:pPr>
      <w:r>
        <w:t xml:space="preserve">•    zvýšit efektivitu využívání zdrojů a snížit znečištění životního prostředí; 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outlineLvl w:val="3"/>
      </w:pPr>
      <w:r>
        <w:t xml:space="preserve">•    omezit rizika plynoucí z nedostatečné, případně extenzivní ochrany životního prostředí, nedostatečné adaptace na klimatickou změnu a její důsledky; 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outlineLvl w:val="3"/>
      </w:pPr>
      <w:r>
        <w:t xml:space="preserve">•    zvýšit kvalitu života obyvatel ČR a zavést prevence znečištění životního prostředí místo likvidace důsledků znečištění.  </w:t>
      </w:r>
    </w:p>
    <w:p w:rsidR="0018466F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Maximální výše dotace 2</w:t>
      </w:r>
      <w:r w:rsidR="001E623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0 mil. Kč na projekt, maximální míra intenzity podpory</w:t>
      </w:r>
      <w:r w:rsidR="0018141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na projekt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10</w:t>
      </w:r>
      <w:r w:rsidR="0018141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0%.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E623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Předpokládaná délka</w:t>
      </w:r>
      <w:r w:rsidRPr="001E62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trvání projektů je </w:t>
      </w:r>
      <w:r w:rsidRPr="006C48A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12 -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3</w:t>
      </w:r>
      <w:r w:rsidRPr="006C48A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6 měsíců</w:t>
      </w:r>
      <w:r w:rsidRPr="001E62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:rsidR="001E6233" w:rsidRDefault="0018466F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Alokace </w:t>
      </w:r>
      <w:r w:rsidRPr="0039205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pro </w:t>
      </w:r>
      <w:r w:rsidR="00392059" w:rsidRPr="0039205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tento podprogram</w:t>
      </w:r>
      <w:r w:rsidRPr="0039205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je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39205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152 mil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r w:rsidR="0039205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Kč.</w:t>
      </w:r>
    </w:p>
    <w:p w:rsidR="00E06BF4" w:rsidRP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Specifické požadavky na aplikačního garanta: </w:t>
      </w:r>
    </w:p>
    <w:p w:rsidR="00E06BF4" w:rsidRP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•    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aplikačním garantem musí být p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ouze instituce veřejné správy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jež vykonává veřejnou moc v oblasti životního prostředí; do projektu může být zapojena jako interní nebo externí aplikační garant.</w:t>
      </w:r>
    </w:p>
    <w:p w:rsidR="00181415" w:rsidRPr="005214DF" w:rsidRDefault="00181415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4"/>
          <w:lang w:eastAsia="cs-CZ"/>
        </w:rPr>
      </w:pPr>
      <w:bookmarkStart w:id="0" w:name="_Toc486952568"/>
      <w:r w:rsidRPr="005214DF">
        <w:rPr>
          <w:rFonts w:asciiTheme="minorHAnsi" w:eastAsia="Times New Roman" w:hAnsiTheme="minorHAnsi" w:cstheme="minorHAnsi"/>
          <w:b/>
          <w:i/>
          <w:sz w:val="28"/>
          <w:szCs w:val="24"/>
          <w:lang w:eastAsia="cs-CZ"/>
        </w:rPr>
        <w:t>Podprogram 2 „</w:t>
      </w:r>
      <w:bookmarkEnd w:id="0"/>
      <w:proofErr w:type="spellStart"/>
      <w:r w:rsidR="00835D31" w:rsidRPr="005214DF">
        <w:rPr>
          <w:rFonts w:asciiTheme="minorHAnsi" w:eastAsia="Times New Roman" w:hAnsiTheme="minorHAnsi" w:cstheme="minorHAnsi"/>
          <w:b/>
          <w:i/>
          <w:sz w:val="28"/>
          <w:szCs w:val="24"/>
          <w:lang w:eastAsia="cs-CZ"/>
        </w:rPr>
        <w:t>Ekoinovace</w:t>
      </w:r>
      <w:proofErr w:type="spellEnd"/>
      <w:r w:rsidR="00835D31" w:rsidRPr="005214DF">
        <w:rPr>
          <w:rFonts w:asciiTheme="minorHAnsi" w:eastAsia="Times New Roman" w:hAnsiTheme="minorHAnsi" w:cstheme="minorHAnsi"/>
          <w:b/>
          <w:i/>
          <w:sz w:val="28"/>
          <w:szCs w:val="24"/>
          <w:lang w:eastAsia="cs-CZ"/>
        </w:rPr>
        <w:t>, technologie a postupy pro ochranu životního prostředí</w:t>
      </w:r>
      <w:r w:rsidRPr="005214DF">
        <w:rPr>
          <w:rFonts w:asciiTheme="minorHAnsi" w:eastAsia="Times New Roman" w:hAnsiTheme="minorHAnsi" w:cstheme="minorHAnsi"/>
          <w:b/>
          <w:i/>
          <w:sz w:val="28"/>
          <w:szCs w:val="24"/>
          <w:lang w:eastAsia="cs-CZ"/>
        </w:rPr>
        <w:t>“</w:t>
      </w:r>
    </w:p>
    <w:p w:rsidR="00E06BF4" w:rsidRP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V  rámci  podprogramu  2  -  </w:t>
      </w:r>
      <w:proofErr w:type="spellStart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Ekoinovace</w:t>
      </w:r>
      <w:proofErr w:type="spellEnd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 technologie  a  postupy  pro  ochranu  životního prostředí budou podpořeny takové návrhy projektů, které splňují dílčí cíle a zaměření tohoto podprogramu: </w:t>
      </w:r>
    </w:p>
    <w:p w:rsidR="00E06BF4" w:rsidRP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•    podpořit </w:t>
      </w:r>
      <w:proofErr w:type="spellStart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ekoinovace</w:t>
      </w:r>
      <w:proofErr w:type="spellEnd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technologie a techniky v technické ochraně životního prostředí; 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•    zajistit  postupy  pro  minimalizaci  rizik  plynoucích  z  n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edostatečné  kvality  životního 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prostředí pro zdraví lidí, jejich prostředí a přírodu.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Maximální výše dotace 3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0 mil. Kč na projekt, maximální míra intenzity podpory na projekt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9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0%.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E623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Předpokládaná délka</w:t>
      </w:r>
      <w:r w:rsidRPr="001E62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trvání projektů je </w:t>
      </w:r>
      <w:r w:rsidRPr="00E06BF4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24</w:t>
      </w:r>
      <w:r w:rsidRPr="00E06BF4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Pr="006C48A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-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48</w:t>
      </w:r>
      <w:r w:rsidRPr="006C48A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měsíců</w:t>
      </w:r>
      <w:r w:rsidRPr="001E62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</w:t>
      </w:r>
    </w:p>
    <w:p w:rsidR="00392059" w:rsidRDefault="00392059" w:rsidP="00392059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Alokace </w:t>
      </w:r>
      <w:r w:rsidRPr="0039205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pro tento podprogram je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277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mil.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Kč.</w:t>
      </w:r>
    </w:p>
    <w:p w:rsidR="00E06BF4" w:rsidRP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Specifické požadavky na aplikačního garanta: </w:t>
      </w:r>
    </w:p>
    <w:p w:rsidR="00E06BF4" w:rsidRPr="00E06BF4" w:rsidRDefault="00E06BF4" w:rsidP="00E06BF4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•    podnik dle Nařízení; do projektu musí být zapojen jako interní aplikační garant; </w:t>
      </w:r>
    </w:p>
    <w:p w:rsidR="00E06BF4" w:rsidRPr="00E06BF4" w:rsidRDefault="00E06BF4" w:rsidP="00E06BF4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•    výzkumná  organizace;  do  projektu  může  být  zapojena  jako  interní  n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ebo  externí 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aplikační garant; </w:t>
      </w:r>
    </w:p>
    <w:p w:rsidR="00E06BF4" w:rsidRPr="00E06BF4" w:rsidRDefault="00E06BF4" w:rsidP="00E06BF4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•    instituce  veřejné  správy,  jež  vykonává  veřejnou  moc  v  oblasti  životního  prostředí;  do projektu může být zapojena jako interní nebo externí aplikační garant;</w:t>
      </w:r>
    </w:p>
    <w:p w:rsidR="00E06BF4" w:rsidRPr="00E06BF4" w:rsidRDefault="00E06BF4" w:rsidP="00E06BF4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•    jakýkoliv další subjekt, který nesplňuje definici podniku podle přílohy č. I Nařízení; do projektu může být zapojen jako interní nebo externí aplikační garant.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253CFA" w:rsidRPr="001E6233" w:rsidRDefault="00253CFA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E623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Kdo může dotace získat</w:t>
      </w:r>
      <w:r w:rsidR="0077643A" w:rsidRPr="001E623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1E6233" w:rsidRDefault="0077643A" w:rsidP="00E06B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E623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Uchazeč – koordinátor projektu 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–</w:t>
      </w:r>
      <w:r w:rsidRPr="001E623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výzkumné organizace, podniky, organizační složky státu a jimi zřízené příspěvkové organizace (pouze u podprogramu 1)</w:t>
      </w:r>
    </w:p>
    <w:p w:rsidR="00835D31" w:rsidRDefault="001E6233" w:rsidP="00E06B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</w:t>
      </w:r>
      <w:r w:rsidR="0077643A" w:rsidRP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alší účastníci projektu – 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výzkumné organizace, podniky, organizační složky státu a jimi zřízené příspěvkové organizace</w:t>
      </w:r>
      <w:r w:rsidR="00835D31" w:rsidRPr="00835D31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045D6A" w:rsidRPr="00045D6A" w:rsidRDefault="00045D6A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Na co lze žádat dotaci:</w:t>
      </w:r>
    </w:p>
    <w:p w:rsidR="00045D6A" w:rsidRPr="00045D6A" w:rsidRDefault="00045D6A" w:rsidP="00E06B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osobní náklady</w:t>
      </w: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/výdaje včetně stipendií v rozsahu nezbytném pro řešení projektu;</w:t>
      </w:r>
    </w:p>
    <w:p w:rsidR="00045D6A" w:rsidRDefault="00045D6A" w:rsidP="00E06BF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náklady na subdodávky</w:t>
      </w: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- jsou uznatelnými náklady, pokud se vztahují na služby výzkumné povahy. Náklady na subdodávky jsou omezeny 20 % z celkových uznatelných nákladů projektu za celou dobu řešení</w:t>
      </w:r>
    </w:p>
    <w:p w:rsidR="00045D6A" w:rsidRDefault="00045D6A" w:rsidP="00E06BF4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ostatní přímé náklady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- představují náklady na ochranu práv duševního vlastnictví, další provozní náklady, náklady na provoz, opravy a údržbu dlouhodobého hmotného a nehmotného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majetku, cestovní náklady atd.</w:t>
      </w:r>
    </w:p>
    <w:p w:rsidR="00045D6A" w:rsidRDefault="00045D6A" w:rsidP="00E06BF4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režijní náklady – </w:t>
      </w:r>
      <w:proofErr w:type="spellStart"/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flat</w:t>
      </w:r>
      <w:proofErr w:type="spellEnd"/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rate</w:t>
      </w:r>
      <w:proofErr w:type="spellEnd"/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– pevná sazba  tzv. metodou “</w:t>
      </w:r>
      <w:proofErr w:type="spellStart"/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flat</w:t>
      </w:r>
      <w:proofErr w:type="spellEnd"/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rate</w:t>
      </w:r>
      <w:proofErr w:type="spellEnd"/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” do výše 25 % se vykazuje </w:t>
      </w:r>
    </w:p>
    <w:p w:rsidR="00045D6A" w:rsidRDefault="00045D6A" w:rsidP="00E06BF4">
      <w:pPr>
        <w:spacing w:after="0" w:line="240" w:lineRule="auto"/>
        <w:ind w:left="2124" w:firstLine="12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ze součtu skutečně vykázaných</w:t>
      </w:r>
      <w:r w:rsidR="008A1AD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osobních nákladů a ostatních přímých</w:t>
      </w:r>
      <w:r w:rsidR="008A1AD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nákladů (subdodávky nejsou zahrnuty).</w:t>
      </w: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 xml:space="preserve">   </w:t>
      </w:r>
    </w:p>
    <w:p w:rsidR="00045D6A" w:rsidRPr="00045D6A" w:rsidRDefault="00045D6A" w:rsidP="00E06BF4">
      <w:pPr>
        <w:spacing w:after="0" w:line="240" w:lineRule="auto"/>
        <w:ind w:left="1428" w:firstLine="69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</w:t>
      </w:r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full </w:t>
      </w:r>
      <w:proofErr w:type="spellStart"/>
      <w:r w:rsidRPr="00045D6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cost</w:t>
      </w:r>
      <w:proofErr w:type="spellEnd"/>
      <w:r w:rsidRPr="00045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</w:t>
      </w:r>
    </w:p>
    <w:p w:rsidR="00225365" w:rsidRDefault="00225365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A44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Povinné přílohy projektové žádosti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: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•   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k 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plánovanému výsledku druhu N </w:t>
      </w:r>
      <w:proofErr w:type="spellStart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metS</w:t>
      </w:r>
      <w:proofErr w:type="spellEnd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– metodika schválena příslušným orgánem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státní  správy,  do  jehož  kompetence  daná  problem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atika  spadá.  Touto  přílohou 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je Formulář potvrzení zájmu příslušného orgánu státní správy; </w:t>
      </w:r>
    </w:p>
    <w:p w:rsidR="00E06BF4" w:rsidRP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•  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plánovanému  výsledku  druhu  P  –  patent  musí  uchazeč  doložit  patentovou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rešerši</w:t>
      </w:r>
    </w:p>
    <w:p w:rsidR="00E06BF4" w:rsidRDefault="00E06BF4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•   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k 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externímu aplikačnímu garantovi 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t</w:t>
      </w:r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outo přílohou může být např.  </w:t>
      </w:r>
      <w:proofErr w:type="spellStart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Letter</w:t>
      </w:r>
      <w:proofErr w:type="spellEnd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</w:t>
      </w:r>
      <w:proofErr w:type="spellStart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of</w:t>
      </w:r>
      <w:proofErr w:type="spellEnd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</w:t>
      </w:r>
      <w:proofErr w:type="spellStart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Intent</w:t>
      </w:r>
      <w:proofErr w:type="spellEnd"/>
      <w:r w:rsidRPr="00E06B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 smlouva  o  využití  výsledků,  smlouva  o  smlouvě  budoucí, memorandum. </w:t>
      </w:r>
    </w:p>
    <w:p w:rsidR="005214DF" w:rsidRDefault="005214DF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214DF" w:rsidRDefault="005214DF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181415" w:rsidRPr="00225365" w:rsidRDefault="00225365" w:rsidP="00E06BF4">
      <w:pPr>
        <w:spacing w:before="100" w:beforeAutospacing="1" w:after="100" w:afterAutospacing="1" w:line="240" w:lineRule="auto"/>
        <w:jc w:val="both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bookmarkStart w:id="1" w:name="_GoBack"/>
      <w:bookmarkEnd w:id="1"/>
      <w:r w:rsidRPr="0022536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</w:t>
      </w:r>
      <w:r w:rsidR="00181415" w:rsidRPr="0022536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aximální intenzita podpory pro jednotlivé kategorie činností a jednotlivé kategorie účastníků</w:t>
      </w:r>
    </w:p>
    <w:p w:rsidR="00835D31" w:rsidRDefault="005214DF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E2D0DEC" wp14:editId="284FF080">
            <wp:extent cx="6120130" cy="45294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DE" w:rsidRPr="008A1ADE" w:rsidRDefault="008A1ADE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r w:rsidRPr="008A1ADE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Důležité termíny:</w:t>
      </w:r>
    </w:p>
    <w:p w:rsidR="00045D6A" w:rsidRDefault="008A1ADE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8A1AD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Návrh projektu včetně povinných příloh se </w:t>
      </w: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podává</w:t>
      </w:r>
      <w:r w:rsidRPr="008A1AD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prostřednictvím informačního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systému ISTA </w:t>
      </w: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do 1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9. 9</w:t>
      </w: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 2019 do 16:30 hod.</w:t>
      </w:r>
    </w:p>
    <w:p w:rsidR="008A1ADE" w:rsidRPr="008A1ADE" w:rsidRDefault="008A1ADE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Zveřejnění </w:t>
      </w:r>
      <w:r w:rsidRPr="008A1ADE">
        <w:rPr>
          <w:rFonts w:asciiTheme="minorHAnsi" w:eastAsia="Times New Roman" w:hAnsiTheme="minorHAnsi" w:cstheme="minorHAnsi"/>
          <w:sz w:val="24"/>
          <w:szCs w:val="24"/>
          <w:lang w:eastAsia="cs-CZ"/>
        </w:rPr>
        <w:t>výsledků nejpozději do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29. 2. 2020</w:t>
      </w:r>
    </w:p>
    <w:p w:rsidR="008A1ADE" w:rsidRPr="008A1ADE" w:rsidRDefault="008A1ADE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Zahájení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projektu nejdříve od </w:t>
      </w: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1. 1. 2020 (nejpozději 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30</w:t>
      </w: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. 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6</w:t>
      </w: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 2020)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</w:t>
      </w: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:rsidR="008A1ADE" w:rsidRDefault="008A1ADE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Ukončení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projektu nejpozději </w:t>
      </w:r>
      <w:r w:rsidR="00835D3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 podprogramu 1 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do </w:t>
      </w:r>
      <w:r w:rsidRPr="008A1AD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31. 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5. 2023, </w:t>
      </w:r>
      <w:r w:rsidR="00835D31" w:rsidRPr="00835D31">
        <w:rPr>
          <w:rFonts w:asciiTheme="minorHAnsi" w:eastAsia="Times New Roman" w:hAnsiTheme="minorHAnsi" w:cstheme="minorHAnsi"/>
          <w:sz w:val="24"/>
          <w:szCs w:val="24"/>
          <w:lang w:eastAsia="cs-CZ"/>
        </w:rPr>
        <w:t>v podprogramu 2 do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31.</w:t>
      </w:r>
      <w:r w:rsidR="005214D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5.</w:t>
      </w:r>
      <w:r w:rsidR="005214D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="00835D31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2024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:rsidR="003A44B7" w:rsidRDefault="003A44B7" w:rsidP="00E06BF4">
      <w:pPr>
        <w:spacing w:before="100" w:beforeAutospacing="1" w:after="100" w:afterAutospacing="1" w:line="240" w:lineRule="auto"/>
        <w:jc w:val="both"/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Více informací a vzory ke stažení naleznete zde: </w:t>
      </w:r>
      <w:hyperlink r:id="rId9" w:history="1">
        <w:r w:rsidR="005214DF" w:rsidRPr="00704E6B">
          <w:rPr>
            <w:rStyle w:val="Hypertextovodkaz"/>
          </w:rPr>
          <w:t>https://tacr.cz/index.php/cz/novinky/1719-program-prostredi-pro-zivot-podprogram-1-a-2-vyhlaseni-1-verejne-souteze.html</w:t>
        </w:r>
      </w:hyperlink>
    </w:p>
    <w:p w:rsidR="003A44B7" w:rsidRDefault="003A44B7" w:rsidP="00E06BF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Projekt musí být podán prostřednictvím informačního systému ISTA: </w:t>
      </w:r>
      <w:hyperlink r:id="rId10" w:history="1">
        <w:r w:rsidRPr="00F73EEA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https://ista.tacr.cz/</w:t>
        </w:r>
      </w:hyperlink>
    </w:p>
    <w:p w:rsidR="00065C64" w:rsidRPr="001E6233" w:rsidRDefault="00065C64" w:rsidP="00E06BF4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8B23A7" w:rsidRDefault="00530490" w:rsidP="00E06BF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E623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Zpracoval</w:t>
      </w:r>
      <w:r w:rsidR="00C5050B" w:rsidRPr="001E623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a</w:t>
      </w:r>
      <w:r w:rsidRPr="001E623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: </w:t>
      </w:r>
      <w:r w:rsidR="005214DF" w:rsidRPr="005214DF">
        <w:rPr>
          <w:rFonts w:asciiTheme="minorHAnsi" w:eastAsia="Times New Roman" w:hAnsiTheme="minorHAnsi" w:cstheme="minorHAnsi"/>
          <w:sz w:val="24"/>
          <w:szCs w:val="24"/>
          <w:lang w:eastAsia="cs-CZ"/>
        </w:rPr>
        <w:t>17</w:t>
      </w:r>
      <w:r w:rsidR="002E229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</w:t>
      </w:r>
      <w:r w:rsidR="005725FE" w:rsidRPr="001E62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5214DF">
        <w:rPr>
          <w:rFonts w:asciiTheme="minorHAnsi" w:eastAsia="Times New Roman" w:hAnsiTheme="minorHAnsi" w:cstheme="minorHAnsi"/>
          <w:sz w:val="24"/>
          <w:szCs w:val="24"/>
          <w:lang w:eastAsia="cs-CZ"/>
        </w:rPr>
        <w:t>6</w:t>
      </w:r>
      <w:r w:rsidR="005725FE" w:rsidRPr="001E6233">
        <w:rPr>
          <w:rFonts w:asciiTheme="minorHAnsi" w:eastAsia="Times New Roman" w:hAnsiTheme="minorHAnsi" w:cstheme="minorHAnsi"/>
          <w:sz w:val="24"/>
          <w:szCs w:val="24"/>
          <w:lang w:eastAsia="cs-CZ"/>
        </w:rPr>
        <w:t>. 201</w:t>
      </w:r>
      <w:r w:rsidR="002E2290">
        <w:rPr>
          <w:rFonts w:asciiTheme="minorHAnsi" w:eastAsia="Times New Roman" w:hAnsiTheme="minorHAnsi" w:cstheme="minorHAnsi"/>
          <w:sz w:val="24"/>
          <w:szCs w:val="24"/>
          <w:lang w:eastAsia="cs-CZ"/>
        </w:rPr>
        <w:t>9</w:t>
      </w:r>
      <w:r w:rsidR="00253CFA" w:rsidRPr="001E62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Ing. </w:t>
      </w:r>
      <w:r w:rsidR="00411489" w:rsidRPr="001E623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Markéta </w:t>
      </w:r>
      <w:r w:rsidR="00F43D19" w:rsidRPr="001E6233">
        <w:rPr>
          <w:rFonts w:asciiTheme="minorHAnsi" w:eastAsia="Times New Roman" w:hAnsiTheme="minorHAnsi" w:cstheme="minorHAnsi"/>
          <w:sz w:val="24"/>
          <w:szCs w:val="24"/>
          <w:lang w:eastAsia="cs-CZ"/>
        </w:rPr>
        <w:t>Pánková</w:t>
      </w:r>
    </w:p>
    <w:p w:rsidR="003A44B7" w:rsidRDefault="00392059" w:rsidP="00E06BF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hyperlink r:id="rId11" w:history="1">
        <w:r w:rsidR="003A44B7" w:rsidRPr="00F73EEA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marketa.pankova@tul.cz</w:t>
        </w:r>
      </w:hyperlink>
    </w:p>
    <w:p w:rsidR="003A44B7" w:rsidRPr="001E6233" w:rsidRDefault="003A44B7" w:rsidP="00E06BF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sectPr w:rsidR="003A44B7" w:rsidRPr="001E6233" w:rsidSect="00411489">
      <w:headerReference w:type="default" r:id="rId12"/>
      <w:footerReference w:type="default" r:id="rId13"/>
      <w:pgSz w:w="11906" w:h="16838" w:code="9"/>
      <w:pgMar w:top="1588" w:right="1134" w:bottom="851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15" w:rsidRPr="00D91740" w:rsidRDefault="008F7715" w:rsidP="00D91740">
      <w:r>
        <w:separator/>
      </w:r>
    </w:p>
  </w:endnote>
  <w:endnote w:type="continuationSeparator" w:id="0">
    <w:p w:rsidR="008F7715" w:rsidRPr="00D91740" w:rsidRDefault="008F771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FDD1A" wp14:editId="08222FC6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15" w:rsidRPr="00D91740" w:rsidRDefault="008F7715" w:rsidP="00D91740">
      <w:r>
        <w:separator/>
      </w:r>
    </w:p>
  </w:footnote>
  <w:footnote w:type="continuationSeparator" w:id="0">
    <w:p w:rsidR="008F7715" w:rsidRPr="00D91740" w:rsidRDefault="008F771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994067" wp14:editId="214887D6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211"/>
    <w:multiLevelType w:val="hybridMultilevel"/>
    <w:tmpl w:val="A3FCA5AC"/>
    <w:lvl w:ilvl="0" w:tplc="924283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85C50"/>
    <w:multiLevelType w:val="hybridMultilevel"/>
    <w:tmpl w:val="5D2E0780"/>
    <w:lvl w:ilvl="0" w:tplc="262CE1C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066D"/>
    <w:multiLevelType w:val="hybridMultilevel"/>
    <w:tmpl w:val="8392E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4231B"/>
    <w:multiLevelType w:val="hybridMultilevel"/>
    <w:tmpl w:val="29C25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E0"/>
    <w:rsid w:val="00016D7E"/>
    <w:rsid w:val="00020671"/>
    <w:rsid w:val="0002342B"/>
    <w:rsid w:val="00026717"/>
    <w:rsid w:val="000306B7"/>
    <w:rsid w:val="00037E8B"/>
    <w:rsid w:val="00045D6A"/>
    <w:rsid w:val="00065C64"/>
    <w:rsid w:val="000C73BA"/>
    <w:rsid w:val="000D5F6F"/>
    <w:rsid w:val="000F1B08"/>
    <w:rsid w:val="001472E5"/>
    <w:rsid w:val="001771A5"/>
    <w:rsid w:val="00181415"/>
    <w:rsid w:val="0018466F"/>
    <w:rsid w:val="001903D8"/>
    <w:rsid w:val="00197647"/>
    <w:rsid w:val="001A21D5"/>
    <w:rsid w:val="001A5FEB"/>
    <w:rsid w:val="001B4405"/>
    <w:rsid w:val="001D0688"/>
    <w:rsid w:val="001E574E"/>
    <w:rsid w:val="001E6233"/>
    <w:rsid w:val="00225365"/>
    <w:rsid w:val="00253CFA"/>
    <w:rsid w:val="0027079A"/>
    <w:rsid w:val="00285B2C"/>
    <w:rsid w:val="002901B0"/>
    <w:rsid w:val="002D3228"/>
    <w:rsid w:val="002E2290"/>
    <w:rsid w:val="002F2D27"/>
    <w:rsid w:val="0031128F"/>
    <w:rsid w:val="00312882"/>
    <w:rsid w:val="003309A7"/>
    <w:rsid w:val="003534CF"/>
    <w:rsid w:val="00372720"/>
    <w:rsid w:val="003855A8"/>
    <w:rsid w:val="00392059"/>
    <w:rsid w:val="00392572"/>
    <w:rsid w:val="003A44B7"/>
    <w:rsid w:val="003C2732"/>
    <w:rsid w:val="003D4251"/>
    <w:rsid w:val="003E23D0"/>
    <w:rsid w:val="003F5C1D"/>
    <w:rsid w:val="00404E7E"/>
    <w:rsid w:val="00411489"/>
    <w:rsid w:val="0041455E"/>
    <w:rsid w:val="00415EDC"/>
    <w:rsid w:val="0047294E"/>
    <w:rsid w:val="004871D5"/>
    <w:rsid w:val="00487237"/>
    <w:rsid w:val="004963A4"/>
    <w:rsid w:val="004D2CEC"/>
    <w:rsid w:val="004F2057"/>
    <w:rsid w:val="004F3062"/>
    <w:rsid w:val="004F5788"/>
    <w:rsid w:val="00501CA9"/>
    <w:rsid w:val="00520A88"/>
    <w:rsid w:val="005214DF"/>
    <w:rsid w:val="00530490"/>
    <w:rsid w:val="00540D92"/>
    <w:rsid w:val="0054208B"/>
    <w:rsid w:val="0054513A"/>
    <w:rsid w:val="00547F33"/>
    <w:rsid w:val="005725FE"/>
    <w:rsid w:val="00581D47"/>
    <w:rsid w:val="00592CA7"/>
    <w:rsid w:val="005C195F"/>
    <w:rsid w:val="0062547B"/>
    <w:rsid w:val="00635E47"/>
    <w:rsid w:val="00651242"/>
    <w:rsid w:val="00682258"/>
    <w:rsid w:val="006A2B2E"/>
    <w:rsid w:val="006A6532"/>
    <w:rsid w:val="006B2306"/>
    <w:rsid w:val="006C1248"/>
    <w:rsid w:val="006C48AE"/>
    <w:rsid w:val="00710BC1"/>
    <w:rsid w:val="0072545F"/>
    <w:rsid w:val="00727D1E"/>
    <w:rsid w:val="0073132C"/>
    <w:rsid w:val="0074099F"/>
    <w:rsid w:val="00771955"/>
    <w:rsid w:val="007733A6"/>
    <w:rsid w:val="0077643A"/>
    <w:rsid w:val="007B4977"/>
    <w:rsid w:val="007E1211"/>
    <w:rsid w:val="007E1B00"/>
    <w:rsid w:val="007E3086"/>
    <w:rsid w:val="007F0FB7"/>
    <w:rsid w:val="007F55A7"/>
    <w:rsid w:val="007F5E47"/>
    <w:rsid w:val="0081349E"/>
    <w:rsid w:val="00830E69"/>
    <w:rsid w:val="00833C7F"/>
    <w:rsid w:val="00835D31"/>
    <w:rsid w:val="008A1ADE"/>
    <w:rsid w:val="008A71A9"/>
    <w:rsid w:val="008B2024"/>
    <w:rsid w:val="008B23A7"/>
    <w:rsid w:val="008C0752"/>
    <w:rsid w:val="008C4846"/>
    <w:rsid w:val="008C7C74"/>
    <w:rsid w:val="008E0A31"/>
    <w:rsid w:val="008F7715"/>
    <w:rsid w:val="009116C9"/>
    <w:rsid w:val="00912784"/>
    <w:rsid w:val="00922FAD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C4DEC"/>
    <w:rsid w:val="009D4F24"/>
    <w:rsid w:val="009E5571"/>
    <w:rsid w:val="009F2C66"/>
    <w:rsid w:val="009F5A43"/>
    <w:rsid w:val="00A1575D"/>
    <w:rsid w:val="00A168E4"/>
    <w:rsid w:val="00A220F0"/>
    <w:rsid w:val="00A33557"/>
    <w:rsid w:val="00A43C9D"/>
    <w:rsid w:val="00A51007"/>
    <w:rsid w:val="00A67754"/>
    <w:rsid w:val="00A83757"/>
    <w:rsid w:val="00AB6EAC"/>
    <w:rsid w:val="00AC6790"/>
    <w:rsid w:val="00AE48D1"/>
    <w:rsid w:val="00B064AE"/>
    <w:rsid w:val="00B0699E"/>
    <w:rsid w:val="00B11F36"/>
    <w:rsid w:val="00B22B3F"/>
    <w:rsid w:val="00B2558D"/>
    <w:rsid w:val="00B5556A"/>
    <w:rsid w:val="00B65538"/>
    <w:rsid w:val="00B67E74"/>
    <w:rsid w:val="00B82B57"/>
    <w:rsid w:val="00B94D65"/>
    <w:rsid w:val="00BB63E5"/>
    <w:rsid w:val="00BD450D"/>
    <w:rsid w:val="00BE4CE5"/>
    <w:rsid w:val="00C048EE"/>
    <w:rsid w:val="00C23949"/>
    <w:rsid w:val="00C5050B"/>
    <w:rsid w:val="00C9715E"/>
    <w:rsid w:val="00CB430D"/>
    <w:rsid w:val="00CF1E78"/>
    <w:rsid w:val="00D2774E"/>
    <w:rsid w:val="00D5465B"/>
    <w:rsid w:val="00D91740"/>
    <w:rsid w:val="00DF3F1D"/>
    <w:rsid w:val="00DF48E0"/>
    <w:rsid w:val="00E0357F"/>
    <w:rsid w:val="00E06BF4"/>
    <w:rsid w:val="00E63C1E"/>
    <w:rsid w:val="00E76C95"/>
    <w:rsid w:val="00EB40DD"/>
    <w:rsid w:val="00EC145D"/>
    <w:rsid w:val="00F06EA0"/>
    <w:rsid w:val="00F120AD"/>
    <w:rsid w:val="00F15FF1"/>
    <w:rsid w:val="00F21D13"/>
    <w:rsid w:val="00F227ED"/>
    <w:rsid w:val="00F43D19"/>
    <w:rsid w:val="00F47ADC"/>
    <w:rsid w:val="00F47BDF"/>
    <w:rsid w:val="00F85E8B"/>
    <w:rsid w:val="00FA3BCF"/>
    <w:rsid w:val="00FB2A8C"/>
    <w:rsid w:val="00FC7439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A13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aliases w:val="Nad,Odstavec_muj,Název grafu,nad 1,Conclusion de partie,List Paragraph"/>
    <w:basedOn w:val="Normln"/>
    <w:link w:val="OdstavecseseznamemChar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"/>
    <w:link w:val="Odstavecseseznamem"/>
    <w:uiPriority w:val="34"/>
    <w:locked/>
    <w:rsid w:val="001E6233"/>
    <w:rPr>
      <w:sz w:val="22"/>
      <w:szCs w:val="22"/>
      <w:lang w:val="en-US" w:eastAsia="en-US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181415"/>
    <w:pPr>
      <w:keepNext/>
      <w:keepLines/>
      <w:spacing w:before="240" w:after="0" w:line="240" w:lineRule="auto"/>
    </w:pPr>
    <w:rPr>
      <w:b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a.pankova@tu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ta.tac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cr.cz/index.php/cz/novinky/1719-program-prostredi-pro-zivot-podprogram-1-a-2-vyhlaseni-1-verejne-soutez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68B1-BF10-47EC-9C82-90056DC9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</Template>
  <TotalTime>0</TotalTime>
  <Pages>3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2019-06-17T11:49:00Z</dcterms:created>
  <dcterms:modified xsi:type="dcterms:W3CDTF">2019-06-17T11:49:00Z</dcterms:modified>
</cp:coreProperties>
</file>